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AEA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13" name="图片 13" descr="2024.10社保缴纳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4.10社保缴纳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12" name="图片 12" descr="2024.10医保缴纳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.10医保缴纳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1" name="图片 11" descr="2024社保补缴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社保补缴1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10" name="图片 10" descr="2024社保补缴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社保补缴2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9" name="图片 9" descr="2024社保补缴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社保补缴3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8" name="图片 8" descr="2024社保补缴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社保补缴4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7" name="图片 7" descr="2024社保补缴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社保补缴5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6" name="图片 6" descr="2024社保补缴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社保补缴6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5" name="图片 5" descr="2024社保补缴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社保补缴7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4" name="图片 4" descr="2024社保补缴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社保补缴8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3" name="图片 3" descr="2024医保补缴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医保补缴1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2" name="图片 2" descr="2024医保补缴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医保补缴2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582795"/>
            <wp:effectExtent l="0" t="0" r="12065" b="8255"/>
            <wp:docPr id="1" name="图片 1" descr="2024医保补缴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医保补缴3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C48DB"/>
    <w:rsid w:val="25326CE0"/>
    <w:rsid w:val="3F8F09BA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2024-12-18T07:21:21Z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745F6A467B1F46D29C792EC561406B4B_12</vt:lpwstr>
  </property>
</Properties>
</file>